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附 件2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>届“国际杯”大学生英语演讲大赛评分表</w:t>
      </w:r>
    </w:p>
    <w:p>
      <w:pPr>
        <w:widowControl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演讲选手序号：（   ）号</w:t>
      </w:r>
      <w:bookmarkStart w:id="0" w:name="_GoBack"/>
      <w:bookmarkEnd w:id="0"/>
    </w:p>
    <w:tbl>
      <w:tblPr>
        <w:tblStyle w:val="3"/>
        <w:tblW w:w="9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86"/>
        <w:gridCol w:w="5891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分数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仪表形象（15分）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着装整洁，举止端正，大方得体。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情绪饱满，自信从容。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演讲内容（45分）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20分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内容紧扣主题，格调积极健康向上，鲜明深刻。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内容充实，新颖，行文流畅；演讲有思想性、逻辑性；层次分明，结构合理完整。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演讲有思想性、逻辑性，层次分明，问题分析深刻透彻，见解独到。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语言艺术（35分）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脱稿演讲，口语自然流畅。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有熟练的演讲技巧，能吸引观众，有较强的艺术感染力。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英文发音准确，语句正确，无明显语法错误。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善于运用身体语言，面部表情、手势姿势、眼神得当，语调抑扬顿挫，富于变化。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时间把握（5分）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58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时间安排得当，能在规定的时间内完成演讲。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注意：复赛本科组、专科组同场比赛，最后评奖本科组、专科组各分一、二、三等奖。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ind w:left="120" w:right="120"/>
        <w:jc w:val="center"/>
        <w:rPr>
          <w:rFonts w:ascii="仿宋" w:hAnsi="仿宋" w:eastAsia="仿宋" w:cs="仿宋"/>
          <w:sz w:val="28"/>
          <w:szCs w:val="28"/>
          <w:lang w:val="zh-TW" w:eastAsia="zh-TW"/>
        </w:rPr>
      </w:pPr>
    </w:p>
    <w:p/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E4D74"/>
    <w:rsid w:val="2B6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2024-04-22T11:56:00Z</dcterms:created>
  <dc:creator>琦蝶</dc:creator>
  <cp:lastModifiedBy>琦蝶</cp:lastModifiedBy>
  <dcterms:modified xsi:type="dcterms:W3CDTF">2024-04-22T11:57:53Z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