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657D" w14:textId="77777777" w:rsidR="00B45010" w:rsidRPr="00B45010" w:rsidRDefault="00B45010" w:rsidP="00B45010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B45010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B45010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2FBC1699" w14:textId="03856ED7" w:rsidR="00B45010" w:rsidRPr="00B45010" w:rsidRDefault="00B45010" w:rsidP="00B45010">
      <w:pPr>
        <w:spacing w:line="440" w:lineRule="exact"/>
        <w:rPr>
          <w:rFonts w:eastAsia="仿宋_GB2312"/>
          <w:sz w:val="28"/>
          <w:szCs w:val="24"/>
        </w:rPr>
      </w:pPr>
      <w:r w:rsidRPr="00B45010"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B45010" w:rsidRPr="00B45010" w14:paraId="10E559E5" w14:textId="77777777" w:rsidTr="00712D8D">
        <w:trPr>
          <w:trHeight w:val="647"/>
        </w:trPr>
        <w:tc>
          <w:tcPr>
            <w:tcW w:w="2269" w:type="dxa"/>
            <w:vAlign w:val="center"/>
          </w:tcPr>
          <w:p w14:paraId="5DBBA92C" w14:textId="77777777" w:rsidR="00B45010" w:rsidRPr="00B45010" w:rsidRDefault="00B45010" w:rsidP="00712D8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B45010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355E2AB" w14:textId="28CD9139" w:rsidR="00B45010" w:rsidRPr="00B45010" w:rsidRDefault="000208AF" w:rsidP="00712D8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0208AF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海上无人系统协同搜救关键技术及应用</w:t>
            </w:r>
          </w:p>
        </w:tc>
      </w:tr>
      <w:tr w:rsidR="00B45010" w:rsidRPr="00B45010" w14:paraId="05FC8244" w14:textId="77777777" w:rsidTr="00712D8D">
        <w:trPr>
          <w:trHeight w:val="561"/>
        </w:trPr>
        <w:tc>
          <w:tcPr>
            <w:tcW w:w="2269" w:type="dxa"/>
            <w:vAlign w:val="center"/>
          </w:tcPr>
          <w:p w14:paraId="49B65A44" w14:textId="77777777" w:rsidR="00B45010" w:rsidRPr="00B45010" w:rsidRDefault="00B45010" w:rsidP="00712D8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B45010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73B1C5C1" w14:textId="30F9DA04" w:rsidR="00B45010" w:rsidRPr="00B45010" w:rsidRDefault="00B45010" w:rsidP="00712D8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B45010">
              <w:rPr>
                <w:rFonts w:eastAsia="仿宋_GB2312"/>
                <w:sz w:val="28"/>
                <w:szCs w:val="24"/>
              </w:rPr>
              <w:t>科学技术进步</w:t>
            </w:r>
            <w:r>
              <w:rPr>
                <w:rFonts w:eastAsia="仿宋_GB2312" w:hint="eastAsia"/>
                <w:sz w:val="28"/>
                <w:szCs w:val="24"/>
              </w:rPr>
              <w:t>二等</w:t>
            </w:r>
            <w:r w:rsidRPr="00B45010">
              <w:rPr>
                <w:rFonts w:eastAsia="仿宋_GB2312"/>
                <w:sz w:val="28"/>
                <w:szCs w:val="24"/>
              </w:rPr>
              <w:t>奖</w:t>
            </w:r>
          </w:p>
        </w:tc>
      </w:tr>
      <w:tr w:rsidR="00B45010" w:rsidRPr="00B45010" w14:paraId="00684C27" w14:textId="77777777" w:rsidTr="00712D8D">
        <w:trPr>
          <w:trHeight w:val="2461"/>
        </w:trPr>
        <w:tc>
          <w:tcPr>
            <w:tcW w:w="2269" w:type="dxa"/>
            <w:vAlign w:val="center"/>
          </w:tcPr>
          <w:p w14:paraId="431E15A3" w14:textId="77777777" w:rsidR="00B45010" w:rsidRPr="00B45010" w:rsidRDefault="00B45010" w:rsidP="00712D8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B45010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430EB20" w14:textId="77777777" w:rsidR="00B45010" w:rsidRPr="00B45010" w:rsidRDefault="00B45010" w:rsidP="00712D8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B45010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0593419" w14:textId="19B77158" w:rsidR="00B45010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一种基于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UWB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定位的无人艇位置航向测定方法</w:t>
            </w:r>
          </w:p>
          <w:p w14:paraId="5C56E9AD" w14:textId="7202DD64" w:rsidR="00D469A9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一种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UWB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基站迭代自定位与校准方法</w:t>
            </w:r>
          </w:p>
          <w:p w14:paraId="6715A87D" w14:textId="3DF2BBB4" w:rsidR="00D469A9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基于激光雷达的船舶边界探测方法</w:t>
            </w:r>
          </w:p>
          <w:p w14:paraId="798002CA" w14:textId="2417BBB7" w:rsidR="00D469A9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一种基于贝叶斯多特征融合的无人水面艇自主航行方法</w:t>
            </w:r>
          </w:p>
          <w:p w14:paraId="4D21EB27" w14:textId="3D890E5B" w:rsidR="00D469A9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一种无线单信道通信网络避免冲突的通信方法</w:t>
            </w:r>
          </w:p>
          <w:p w14:paraId="74B963C8" w14:textId="5613DD1C" w:rsidR="00D469A9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一种适用于船舶一体化通信的通信设备自动优选方法</w:t>
            </w:r>
          </w:p>
          <w:p w14:paraId="5EF1E7CE" w14:textId="4DF89FB6" w:rsidR="00D469A9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一种无人艇海上通信信道自适应选择方法</w:t>
            </w:r>
          </w:p>
          <w:p w14:paraId="330D611B" w14:textId="53166CC3" w:rsidR="00D469A9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一种海岸间高传输稳定性的点对点通信方法</w:t>
            </w:r>
          </w:p>
          <w:p w14:paraId="43326C0F" w14:textId="4CF0CF04" w:rsidR="005B5416" w:rsidRPr="00E91CE4" w:rsidRDefault="00D469A9" w:rsidP="006B4217">
            <w:pPr>
              <w:spacing w:line="36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发明专利：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一种基于水下搜寻机器人的目标搜寻与抵近方法</w:t>
            </w:r>
          </w:p>
        </w:tc>
      </w:tr>
      <w:tr w:rsidR="00B45010" w:rsidRPr="00B45010" w14:paraId="141A1090" w14:textId="77777777" w:rsidTr="00712D8D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C3E1955" w14:textId="77777777" w:rsidR="00B45010" w:rsidRPr="00B45010" w:rsidRDefault="00B45010" w:rsidP="00712D8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B45010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355EAF51" w14:textId="1F143A5D" w:rsidR="00B45010" w:rsidRPr="00E91CE4" w:rsidRDefault="00E91CE4" w:rsidP="00E91CE4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蔡文郁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1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杭州电子科技大学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C788BB3" w14:textId="67FCE0B8" w:rsidR="00B45010" w:rsidRPr="00E91CE4" w:rsidRDefault="00E91CE4" w:rsidP="00E91CE4">
            <w:pPr>
              <w:spacing w:line="44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徐深洋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2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中电科（宁波）海洋电子研究院有限公司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793FA45" w14:textId="41B4B335" w:rsidR="00B45010" w:rsidRPr="00B45010" w:rsidRDefault="00E91CE4" w:rsidP="00712D8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王成才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3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 w:rsidR="005B1A35">
              <w:rPr>
                <w:rFonts w:eastAsia="仿宋_GB2312" w:hint="eastAsia"/>
                <w:sz w:val="24"/>
                <w:szCs w:val="24"/>
              </w:rPr>
              <w:t>副教授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中电科海洋信息技术研究院有限公司</w:t>
            </w:r>
            <w:r w:rsidR="00B45010" w:rsidRPr="00B45010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4851DA5" w14:textId="163AD996" w:rsidR="000208AF" w:rsidRPr="00B45010" w:rsidRDefault="00E91CE4" w:rsidP="000208A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王冬海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0208AF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 w:rsidR="005B1A35">
              <w:rPr>
                <w:rFonts w:eastAsia="仿宋_GB2312" w:hint="eastAsia"/>
                <w:bCs/>
                <w:sz w:val="24"/>
                <w:szCs w:val="24"/>
              </w:rPr>
              <w:t>教授级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高工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中电科海洋信息技术研究院有限公司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1CF2D44" w14:textId="400586F2" w:rsidR="000208AF" w:rsidRPr="00B45010" w:rsidRDefault="00E91CE4" w:rsidP="000208A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张美燕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0208AF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浙江水利水电学院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40859F3" w14:textId="22FC30CD" w:rsidR="000208AF" w:rsidRPr="00B45010" w:rsidRDefault="00E91CE4" w:rsidP="000208A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骆曹飞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0208AF"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 w:rsidR="0013177E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 w:rsidR="001C67FE">
              <w:rPr>
                <w:rFonts w:eastAsia="仿宋"/>
                <w:color w:val="000000" w:themeColor="text1"/>
                <w:sz w:val="24"/>
                <w:szCs w:val="24"/>
              </w:rPr>
              <w:t>浙江嘉蓝海洋电子有限公司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2F4CAEF" w14:textId="3FE8DAAD" w:rsidR="000208AF" w:rsidRPr="00B45010" w:rsidRDefault="00E91CE4" w:rsidP="001C67F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马赛男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0208AF"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 w:rsidR="0013177E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 w:rsidR="000208AF" w:rsidRPr="00B45010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浙江嘉蓝海洋电子有限公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lastRenderedPageBreak/>
              <w:t>司</w:t>
            </w:r>
            <w:r w:rsidR="001C67FE">
              <w:rPr>
                <w:rFonts w:eastAsia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45010" w:rsidRPr="00806BFF" w14:paraId="59316CE1" w14:textId="77777777" w:rsidTr="00712D8D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6FA20B4" w14:textId="77777777" w:rsidR="00B45010" w:rsidRPr="00B45010" w:rsidRDefault="00B45010" w:rsidP="00712D8D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45010"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40154A1" w14:textId="77777777" w:rsidR="00806BFF" w:rsidRDefault="00806BFF" w:rsidP="00712D8D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杭州电子科技大学</w:t>
            </w:r>
          </w:p>
          <w:p w14:paraId="1BBE4223" w14:textId="77777777" w:rsidR="00806BFF" w:rsidRDefault="00806BFF" w:rsidP="00712D8D">
            <w:pPr>
              <w:spacing w:line="44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中电科（宁波）海洋电子研究院有限公司</w:t>
            </w:r>
          </w:p>
          <w:p w14:paraId="77215A4E" w14:textId="77777777" w:rsidR="00806BFF" w:rsidRDefault="00806BFF" w:rsidP="00712D8D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浙江水利水电学院</w:t>
            </w:r>
          </w:p>
          <w:p w14:paraId="26C67178" w14:textId="77777777" w:rsidR="00B45010" w:rsidRDefault="00806BFF" w:rsidP="00712D8D">
            <w:pPr>
              <w:spacing w:line="44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浙江嘉蓝海洋电子有限公司</w:t>
            </w:r>
          </w:p>
          <w:p w14:paraId="15181D86" w14:textId="4EEAC1C7" w:rsidR="00806BFF" w:rsidRPr="00806BFF" w:rsidRDefault="00806BFF" w:rsidP="00712D8D">
            <w:pPr>
              <w:spacing w:line="44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中电科海洋信息技术研究院有限公司</w:t>
            </w:r>
          </w:p>
        </w:tc>
      </w:tr>
      <w:tr w:rsidR="00B45010" w:rsidRPr="00B45010" w14:paraId="23CEFC68" w14:textId="77777777" w:rsidTr="00712D8D">
        <w:trPr>
          <w:trHeight w:val="692"/>
        </w:trPr>
        <w:tc>
          <w:tcPr>
            <w:tcW w:w="2269" w:type="dxa"/>
            <w:vAlign w:val="center"/>
          </w:tcPr>
          <w:p w14:paraId="582ACD5A" w14:textId="77777777" w:rsidR="00B45010" w:rsidRPr="00B45010" w:rsidRDefault="00B45010" w:rsidP="00712D8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B45010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D14D8D2" w14:textId="52877D43" w:rsidR="00B45010" w:rsidRPr="00B45010" w:rsidRDefault="00D469A9" w:rsidP="00E91CE4">
            <w:pPr>
              <w:spacing w:line="360" w:lineRule="auto"/>
              <w:jc w:val="left"/>
              <w:rPr>
                <w:rStyle w:val="title1"/>
                <w:b w:val="0"/>
                <w:color w:val="auto"/>
              </w:rPr>
            </w:pPr>
            <w:r w:rsidRPr="00E91CE4">
              <w:rPr>
                <w:rFonts w:eastAsia="仿宋"/>
                <w:color w:val="000000" w:themeColor="text1"/>
                <w:sz w:val="24"/>
                <w:szCs w:val="24"/>
              </w:rPr>
              <w:t>浙江省</w:t>
            </w:r>
            <w:r w:rsidRPr="00E91CE4">
              <w:rPr>
                <w:rFonts w:eastAsia="仿宋" w:hint="eastAsia"/>
                <w:color w:val="000000" w:themeColor="text1"/>
                <w:sz w:val="24"/>
                <w:szCs w:val="24"/>
              </w:rPr>
              <w:t>教育厅</w:t>
            </w:r>
          </w:p>
        </w:tc>
      </w:tr>
      <w:tr w:rsidR="00B45010" w:rsidRPr="00B45010" w14:paraId="3DE70215" w14:textId="77777777" w:rsidTr="00712D8D">
        <w:trPr>
          <w:trHeight w:val="3683"/>
        </w:trPr>
        <w:tc>
          <w:tcPr>
            <w:tcW w:w="2269" w:type="dxa"/>
            <w:vAlign w:val="center"/>
          </w:tcPr>
          <w:p w14:paraId="56B5EF08" w14:textId="77777777" w:rsidR="00B45010" w:rsidRPr="00B45010" w:rsidRDefault="00B45010" w:rsidP="00712D8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B45010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1C9FEA2A" w14:textId="53809E7F" w:rsidR="00B45010" w:rsidRPr="00440AE7" w:rsidRDefault="00440AE7" w:rsidP="00440AE7">
            <w:pPr>
              <w:spacing w:line="360" w:lineRule="auto"/>
              <w:rPr>
                <w:rStyle w:val="title1"/>
                <w:b w:val="0"/>
                <w:color w:val="auto"/>
              </w:rPr>
            </w:pPr>
            <w:r w:rsidRPr="00440AE7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项目在国家重点研发计划课题（海上救助无人船平台系统集成研究和实现、岸基多元传感一体化目标监视技术研究）等项目支持下，经过近八年的自主研发与创新，</w:t>
            </w:r>
            <w:r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杭州电子科技大学等单位</w:t>
            </w:r>
            <w:r w:rsidRPr="00440AE7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提出了一种面向立体海域的无人系统协同搜救技术，加速发展海上应急救援技术，增强海洋灾害应对处置能力，对防灾减灾、保障人民群众生命财产安全提供技术支撑。项目已获国家发明专利</w:t>
            </w:r>
            <w:r w:rsidRPr="00440AE7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17</w:t>
            </w:r>
            <w:r w:rsidRPr="00440AE7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件、软件著作权</w:t>
            </w:r>
            <w:r w:rsidRPr="00440AE7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8</w:t>
            </w:r>
            <w:r w:rsidRPr="00440AE7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件，发表论文</w:t>
            </w:r>
            <w:r w:rsidRPr="00440AE7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20</w:t>
            </w:r>
            <w:r w:rsidRPr="00440AE7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篇</w:t>
            </w:r>
            <w:r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6247BBA4" w14:textId="77777777" w:rsidR="00B45010" w:rsidRPr="00B45010" w:rsidRDefault="00B45010" w:rsidP="00B4501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657B26AB" w14:textId="77777777" w:rsidR="00061C8A" w:rsidRPr="00B45010" w:rsidRDefault="00061C8A"/>
    <w:sectPr w:rsidR="00061C8A" w:rsidRPr="00B4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5B66A" w14:textId="77777777" w:rsidR="0013177E" w:rsidRDefault="0013177E" w:rsidP="0013177E">
      <w:r>
        <w:separator/>
      </w:r>
    </w:p>
  </w:endnote>
  <w:endnote w:type="continuationSeparator" w:id="0">
    <w:p w14:paraId="79B913B9" w14:textId="77777777" w:rsidR="0013177E" w:rsidRDefault="0013177E" w:rsidP="001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41CB" w14:textId="77777777" w:rsidR="0013177E" w:rsidRDefault="0013177E" w:rsidP="0013177E">
      <w:r>
        <w:separator/>
      </w:r>
    </w:p>
  </w:footnote>
  <w:footnote w:type="continuationSeparator" w:id="0">
    <w:p w14:paraId="35AFD19D" w14:textId="77777777" w:rsidR="0013177E" w:rsidRDefault="0013177E" w:rsidP="0013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10"/>
    <w:rsid w:val="000208AF"/>
    <w:rsid w:val="00061C8A"/>
    <w:rsid w:val="0008499E"/>
    <w:rsid w:val="000E4565"/>
    <w:rsid w:val="0013177E"/>
    <w:rsid w:val="001C67FE"/>
    <w:rsid w:val="00440AE7"/>
    <w:rsid w:val="005B1A35"/>
    <w:rsid w:val="005B5416"/>
    <w:rsid w:val="006B4217"/>
    <w:rsid w:val="006B4D7D"/>
    <w:rsid w:val="00726F6C"/>
    <w:rsid w:val="00806BFF"/>
    <w:rsid w:val="009D3FB8"/>
    <w:rsid w:val="00B45010"/>
    <w:rsid w:val="00C775B1"/>
    <w:rsid w:val="00D14B6F"/>
    <w:rsid w:val="00D469A9"/>
    <w:rsid w:val="00E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1DAA6"/>
  <w15:chartTrackingRefBased/>
  <w15:docId w15:val="{808216D2-EA9F-49DD-8591-D88C06A9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0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B45010"/>
    <w:rPr>
      <w:b/>
      <w:bCs/>
      <w:color w:val="9999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17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7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7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Wenyu Cai</dc:creator>
  <cp:keywords/>
  <dc:description/>
  <cp:lastModifiedBy>Wenyu Cai</cp:lastModifiedBy>
  <cp:revision>14</cp:revision>
  <dcterms:created xsi:type="dcterms:W3CDTF">2024-08-05T13:39:00Z</dcterms:created>
  <dcterms:modified xsi:type="dcterms:W3CDTF">2024-08-06T13:14:00Z</dcterms:modified>
</cp:coreProperties>
</file>